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both"/>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both"/>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2018年交警业务经费项目</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CN"/>
        </w:rPr>
        <w:t>塔什库尔干县公安局</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塔什库尔干县人民政府</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宝力代</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en-US" w:eastAsia="zh-CN"/>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10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hint="eastAsia" w:ascii="黑体" w:hAnsi="黑体" w:eastAsia="黑体"/>
          <w:b w:val="0"/>
          <w:spacing w:val="-4"/>
          <w:sz w:val="32"/>
          <w:szCs w:val="32"/>
        </w:rPr>
      </w:pPr>
    </w:p>
    <w:p>
      <w:pPr>
        <w:pStyle w:val="48"/>
        <w:spacing w:line="700" w:lineRule="exact"/>
        <w:ind w:firstLine="624" w:firstLineChars="200"/>
        <w:jc w:val="left"/>
        <w:rPr>
          <w:rStyle w:val="18"/>
          <w:rFonts w:hint="eastAsia" w:ascii="黑体" w:hAnsi="黑体" w:eastAsia="黑体"/>
          <w:b w:val="0"/>
          <w:spacing w:val="-4"/>
          <w:sz w:val="32"/>
          <w:szCs w:val="32"/>
        </w:rPr>
      </w:pP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县公安局基本情况，包括：县公安局主要职能和机构设置情况、年末编制情况、实有人数情况等。</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1、主要职能</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塔什库尔干塔吉克自治县公安局是主管全县公安工作的政府工作部门，是不同于一般行政机关的具有武装性质的国家治安行政管理和刑事执法部门。主要有以下职责：预防、制止和侦查违法犯罪活动;防范、打击恐怖活动;维护社会治安秩序，制止危害社会治安秩序的行为;管理交通、消防、危险物品;管理户口、居民身份证、国籍、出入境事务和外国人在中国境内居留、旅行的有关事务;维护国(边)境地区的治安秩序;警卫国家规定的特定人员、守卫重要场所和设施;管理集会、游行和示威活动;监督管理公共信息网络安全监察工作;负责承担被判处拘役、有期徒刑、缓刑、管制、剥夺政治权利和被假释犯的监督考察任务；法律、法规规定的其他职责。</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2、机构情况及人员情况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塔什库尔干塔吉克自治县公安局为正科级单位，具体机构设置：内设综合管理机构3个，执法勤务机构11个，派出机构5个，监管场所2个。</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总编制数112名，其中行政编制85名，工勤编制2名，事业编制25名。2018年实有在职人数行政编制96人，事业编制22人。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ascii="仿宋" w:hAnsi="仿宋" w:eastAsia="仿宋"/>
          <w:bCs/>
          <w:color w:val="FF0000"/>
          <w:spacing w:val="-4"/>
          <w:sz w:val="32"/>
          <w:szCs w:val="32"/>
        </w:rPr>
      </w:pPr>
      <w:bookmarkStart w:id="0" w:name="_Toc405279309"/>
      <w:r>
        <w:rPr>
          <w:rFonts w:hint="eastAsia" w:ascii="仿宋" w:hAnsi="仿宋" w:eastAsia="仿宋"/>
          <w:bCs/>
          <w:color w:val="auto"/>
          <w:spacing w:val="-4"/>
          <w:sz w:val="32"/>
          <w:szCs w:val="32"/>
        </w:rPr>
        <w:t>项目的预期目标：一要加强县城交通组织优化管理，提升交通管理水平。二要加强基础设施建设，持续改善道路通行条件。三要加强交通秩序管理，严格道路交通执法。四要加强机动车驾驶人管理，提高驾驶人安全文明驾驶素质。五要加强交通安全宣传教育，切实提高群众的文明交通意识。六要加强科学装备和信息技术应用，大力提升警务效能。七要加强交通事故应急保障与救助体系建设，提升交通事故应急保障能力。八要加强警力配置与管理，全面提高队伍整体素质。</w:t>
      </w:r>
      <w:bookmarkEnd w:id="0"/>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本项目性质为</w:t>
      </w:r>
      <w:r>
        <w:rPr>
          <w:rFonts w:hint="eastAsia" w:ascii="仿宋" w:hAnsi="仿宋" w:eastAsia="仿宋"/>
          <w:bCs/>
          <w:color w:val="auto"/>
          <w:spacing w:val="-4"/>
          <w:sz w:val="32"/>
          <w:szCs w:val="32"/>
          <w:lang w:val="en-US" w:eastAsia="zh-CN"/>
        </w:rPr>
        <w:t>新增项目</w:t>
      </w:r>
      <w:r>
        <w:rPr>
          <w:rFonts w:hint="eastAsia" w:ascii="仿宋" w:hAnsi="仿宋" w:eastAsia="仿宋"/>
          <w:bCs/>
          <w:color w:val="auto"/>
          <w:spacing w:val="-4"/>
          <w:sz w:val="32"/>
          <w:szCs w:val="32"/>
        </w:rPr>
        <w:t>。</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outlineLvl w:val="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交警业务经费主要用于全县的维护道路交通管理工作开支，包括交警办公经费、车辆燃油费、维修费等支出，保证全县不出现重大群体性事件和各类影响道路交通突发事件。</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lang w:val="en-US" w:eastAsia="zh-CN"/>
        </w:rPr>
        <w:t>2018年交警业务经费</w:t>
      </w:r>
      <w:r>
        <w:rPr>
          <w:rFonts w:hint="eastAsia" w:ascii="仿宋" w:hAnsi="仿宋" w:eastAsia="仿宋"/>
          <w:bCs/>
          <w:color w:val="auto"/>
          <w:spacing w:val="-4"/>
          <w:sz w:val="32"/>
          <w:szCs w:val="32"/>
        </w:rPr>
        <w:t>项目预算安排总额为</w:t>
      </w:r>
      <w:r>
        <w:rPr>
          <w:rFonts w:hint="eastAsia" w:ascii="仿宋" w:hAnsi="仿宋" w:eastAsia="仿宋"/>
          <w:bCs/>
          <w:color w:val="auto"/>
          <w:spacing w:val="-4"/>
          <w:sz w:val="32"/>
          <w:szCs w:val="32"/>
          <w:lang w:val="en-US" w:eastAsia="zh-CN"/>
        </w:rPr>
        <w:t>14</w:t>
      </w:r>
      <w:r>
        <w:rPr>
          <w:rFonts w:hint="eastAsia" w:ascii="仿宋" w:hAnsi="仿宋" w:eastAsia="仿宋"/>
          <w:bCs/>
          <w:color w:val="auto"/>
          <w:spacing w:val="-4"/>
          <w:sz w:val="32"/>
          <w:szCs w:val="32"/>
        </w:rPr>
        <w:t>万元，其中财政资金</w:t>
      </w:r>
      <w:r>
        <w:rPr>
          <w:rFonts w:hint="eastAsia" w:ascii="仿宋" w:hAnsi="仿宋" w:eastAsia="仿宋"/>
          <w:bCs/>
          <w:color w:val="auto"/>
          <w:spacing w:val="-4"/>
          <w:sz w:val="32"/>
          <w:szCs w:val="32"/>
          <w:lang w:val="en-US" w:eastAsia="zh-CN"/>
        </w:rPr>
        <w:t>14</w:t>
      </w:r>
      <w:r>
        <w:rPr>
          <w:rFonts w:hint="eastAsia" w:ascii="仿宋" w:hAnsi="仿宋" w:eastAsia="仿宋"/>
          <w:bCs/>
          <w:color w:val="auto"/>
          <w:spacing w:val="-4"/>
          <w:sz w:val="32"/>
          <w:szCs w:val="32"/>
        </w:rPr>
        <w:t>万元，2018年实际收到预算资金</w:t>
      </w:r>
      <w:r>
        <w:rPr>
          <w:rFonts w:hint="eastAsia" w:ascii="仿宋" w:hAnsi="仿宋" w:eastAsia="仿宋"/>
          <w:bCs/>
          <w:color w:val="auto"/>
          <w:spacing w:val="-4"/>
          <w:sz w:val="32"/>
          <w:szCs w:val="32"/>
          <w:lang w:val="en-US" w:eastAsia="zh-CN"/>
        </w:rPr>
        <w:t>14</w:t>
      </w:r>
      <w:r>
        <w:rPr>
          <w:rFonts w:hint="eastAsia" w:ascii="仿宋" w:hAnsi="仿宋" w:eastAsia="仿宋"/>
          <w:bCs/>
          <w:color w:val="auto"/>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本项目实际支付资金</w:t>
      </w:r>
      <w:r>
        <w:rPr>
          <w:rFonts w:hint="eastAsia" w:ascii="仿宋" w:hAnsi="仿宋" w:eastAsia="仿宋"/>
          <w:bCs/>
          <w:color w:val="auto"/>
          <w:spacing w:val="-4"/>
          <w:sz w:val="32"/>
          <w:szCs w:val="32"/>
          <w:lang w:val="en-US" w:eastAsia="zh-CN"/>
        </w:rPr>
        <w:t>14</w:t>
      </w:r>
      <w:r>
        <w:rPr>
          <w:rFonts w:hint="eastAsia" w:ascii="仿宋" w:hAnsi="仿宋" w:eastAsia="仿宋"/>
          <w:bCs/>
          <w:color w:val="auto"/>
          <w:spacing w:val="-4"/>
          <w:sz w:val="32"/>
          <w:szCs w:val="32"/>
        </w:rPr>
        <w:t>万元，预算执行率</w:t>
      </w:r>
      <w:r>
        <w:rPr>
          <w:rFonts w:hint="eastAsia" w:ascii="仿宋" w:hAnsi="仿宋" w:eastAsia="仿宋"/>
          <w:bCs/>
          <w:color w:val="auto"/>
          <w:spacing w:val="-4"/>
          <w:sz w:val="32"/>
          <w:szCs w:val="32"/>
          <w:lang w:val="en-US" w:eastAsia="zh-CN"/>
        </w:rPr>
        <w:t>100</w:t>
      </w:r>
      <w:r>
        <w:rPr>
          <w:rFonts w:ascii="仿宋" w:hAnsi="仿宋" w:eastAsia="仿宋"/>
          <w:bCs/>
          <w:color w:val="auto"/>
          <w:spacing w:val="-4"/>
          <w:sz w:val="32"/>
          <w:szCs w:val="32"/>
        </w:rPr>
        <w:t>%</w:t>
      </w:r>
      <w:r>
        <w:rPr>
          <w:rFonts w:hint="eastAsia" w:ascii="仿宋" w:hAnsi="仿宋" w:eastAsia="仿宋"/>
          <w:bCs/>
          <w:color w:val="auto"/>
          <w:spacing w:val="-4"/>
          <w:sz w:val="32"/>
          <w:szCs w:val="32"/>
        </w:rPr>
        <w:t>。项目资金主要用于支付办公经费</w:t>
      </w:r>
      <w:r>
        <w:rPr>
          <w:rFonts w:hint="eastAsia" w:ascii="仿宋" w:hAnsi="仿宋" w:eastAsia="仿宋"/>
          <w:bCs/>
          <w:color w:val="auto"/>
          <w:spacing w:val="-4"/>
          <w:sz w:val="32"/>
          <w:szCs w:val="32"/>
          <w:lang w:val="en-US" w:eastAsia="zh-CN"/>
        </w:rPr>
        <w:t>1.34万元</w:t>
      </w:r>
      <w:r>
        <w:rPr>
          <w:rFonts w:hint="eastAsia" w:ascii="仿宋" w:hAnsi="仿宋" w:eastAsia="仿宋"/>
          <w:bCs/>
          <w:color w:val="auto"/>
          <w:spacing w:val="-4"/>
          <w:sz w:val="32"/>
          <w:szCs w:val="32"/>
        </w:rPr>
        <w:t>、</w:t>
      </w:r>
      <w:r>
        <w:rPr>
          <w:rFonts w:hint="eastAsia" w:ascii="仿宋" w:hAnsi="仿宋" w:eastAsia="仿宋"/>
          <w:bCs/>
          <w:color w:val="auto"/>
          <w:spacing w:val="-4"/>
          <w:sz w:val="32"/>
          <w:szCs w:val="32"/>
          <w:lang w:val="en-US" w:eastAsia="zh-CN"/>
        </w:rPr>
        <w:t>电费1.92万元、</w:t>
      </w:r>
      <w:r>
        <w:rPr>
          <w:rFonts w:hint="eastAsia" w:ascii="仿宋" w:hAnsi="仿宋" w:eastAsia="仿宋"/>
          <w:bCs/>
          <w:color w:val="auto"/>
          <w:spacing w:val="-4"/>
          <w:sz w:val="32"/>
          <w:szCs w:val="32"/>
        </w:rPr>
        <w:t>差旅费</w:t>
      </w:r>
      <w:r>
        <w:rPr>
          <w:rFonts w:hint="eastAsia" w:ascii="仿宋" w:hAnsi="仿宋" w:eastAsia="仿宋"/>
          <w:bCs/>
          <w:color w:val="auto"/>
          <w:spacing w:val="-4"/>
          <w:sz w:val="32"/>
          <w:szCs w:val="32"/>
          <w:lang w:val="en-US" w:eastAsia="zh-CN"/>
        </w:rPr>
        <w:t>2.06万元、培训费2.48万元、</w:t>
      </w:r>
      <w:r>
        <w:rPr>
          <w:rFonts w:hint="eastAsia" w:ascii="仿宋" w:hAnsi="仿宋" w:eastAsia="仿宋"/>
          <w:bCs/>
          <w:color w:val="auto"/>
          <w:spacing w:val="-4"/>
          <w:sz w:val="32"/>
          <w:szCs w:val="32"/>
        </w:rPr>
        <w:t>执勤车辆燃油费</w:t>
      </w:r>
      <w:r>
        <w:rPr>
          <w:rFonts w:hint="eastAsia" w:ascii="仿宋" w:hAnsi="仿宋" w:eastAsia="仿宋"/>
          <w:bCs/>
          <w:color w:val="auto"/>
          <w:spacing w:val="-4"/>
          <w:sz w:val="32"/>
          <w:szCs w:val="32"/>
          <w:lang w:val="en-US" w:eastAsia="zh-CN"/>
        </w:rPr>
        <w:t>2.86万元、</w:t>
      </w:r>
      <w:r>
        <w:rPr>
          <w:rFonts w:hint="eastAsia" w:ascii="仿宋" w:hAnsi="仿宋" w:eastAsia="仿宋"/>
          <w:bCs/>
          <w:color w:val="auto"/>
          <w:spacing w:val="-4"/>
          <w:sz w:val="32"/>
          <w:szCs w:val="32"/>
        </w:rPr>
        <w:t>执法勤务装备购置</w:t>
      </w:r>
      <w:r>
        <w:rPr>
          <w:rFonts w:hint="eastAsia" w:ascii="仿宋" w:hAnsi="仿宋" w:eastAsia="仿宋"/>
          <w:bCs/>
          <w:color w:val="auto"/>
          <w:spacing w:val="-4"/>
          <w:sz w:val="32"/>
          <w:szCs w:val="32"/>
          <w:lang w:val="en-US" w:eastAsia="zh-CN"/>
        </w:rPr>
        <w:t>费3.11万元</w:t>
      </w:r>
      <w:r>
        <w:rPr>
          <w:rFonts w:hint="eastAsia" w:ascii="仿宋" w:hAnsi="仿宋" w:eastAsia="仿宋"/>
          <w:bCs/>
          <w:color w:val="auto"/>
          <w:spacing w:val="-4"/>
          <w:sz w:val="32"/>
          <w:szCs w:val="32"/>
          <w:lang w:eastAsia="zh-CN"/>
        </w:rPr>
        <w:t>。</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val="en-US" w:eastAsia="zh-CN"/>
        </w:rPr>
        <w:t>公安机关交警业务经费支付范围</w:t>
      </w:r>
      <w:r>
        <w:rPr>
          <w:rFonts w:hint="eastAsia" w:ascii="仿宋" w:hAnsi="仿宋" w:eastAsia="仿宋"/>
          <w:bCs/>
          <w:color w:val="auto"/>
          <w:spacing w:val="-4"/>
          <w:sz w:val="32"/>
          <w:szCs w:val="32"/>
        </w:rPr>
        <w:t>，包括会计人员集中核算工作管理制度、财务收支审批制度、财务稽核制度、财务牵制制度、会计主管岗位职责等制度规定，资金的拨付有完整的审批程序和手续，不存在截留、挤占、挪用等情况。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该项目属于经常性零星项目,没有达到招投标限额,由本单位自行组织实施。实施过程均按照本单位制定的管理制度执行。</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本项目不存在检查验收程序。</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项目实施过程中，严格按照财经纪律规范和使用财政资金，做到资金的使用均有完整的审批程序，并实行专人管理、转账核算、专款专用原则，费用开支具体用途明晰，支出审批程序健全、规范。已建立《</w:t>
      </w:r>
      <w:r>
        <w:rPr>
          <w:rFonts w:hint="eastAsia" w:ascii="仿宋" w:hAnsi="仿宋" w:eastAsia="仿宋"/>
          <w:bCs/>
          <w:color w:val="auto"/>
          <w:spacing w:val="-4"/>
          <w:sz w:val="32"/>
          <w:szCs w:val="32"/>
          <w:lang w:val="en-US" w:eastAsia="zh-CN"/>
        </w:rPr>
        <w:t>专项经费</w:t>
      </w:r>
      <w:r>
        <w:rPr>
          <w:rFonts w:hint="eastAsia" w:ascii="仿宋" w:hAnsi="仿宋" w:eastAsia="仿宋"/>
          <w:bCs/>
          <w:color w:val="auto"/>
          <w:spacing w:val="-4"/>
          <w:sz w:val="32"/>
          <w:szCs w:val="32"/>
        </w:rPr>
        <w:t>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9</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10</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10</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100</w:t>
      </w:r>
      <w:r>
        <w:rPr>
          <w:rFonts w:hint="eastAsia" w:ascii="仿宋" w:hAnsi="仿宋" w:eastAsia="仿宋"/>
          <w:bCs/>
          <w:color w:val="auto"/>
          <w:spacing w:val="-4"/>
          <w:sz w:val="32"/>
          <w:szCs w:val="32"/>
        </w:rPr>
        <w:t>%。</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效率性：共查处各类交通违法行为1027起，其中：简易处罚635起，强制处罚167起（无证驾驶62起，饮酒驾驶9起，醉酒驾驶16起，故意遮挡机动车号牌41起，机动车载物超过核定载质量100%以上8起，未悬挂号牌4起，其他27起），违停告知单225起；治安拘留10人，取保候审16人。共接处交通类警情102起，认定为交通事故59起，其中58起为轻微交通事故、1起为一般交通事故，受伤1人，死亡2人，直接经济损失25万元，与去年同期事故“四项指数”相比为交通事故起数下降28.9%，受伤人数与去年相比下降了96%，死亡人数下降了60%，经济损失上升了7.2%。从时效指标上分析资金使用完成率达到100%。</w:t>
      </w:r>
    </w:p>
    <w:p>
      <w:pPr>
        <w:adjustRightInd w:val="0"/>
        <w:snapToGrid w:val="0"/>
        <w:spacing w:line="560" w:lineRule="exact"/>
        <w:ind w:firstLine="624" w:firstLineChars="200"/>
        <w:rPr>
          <w:rStyle w:val="18"/>
          <w:rFonts w:hint="eastAsia" w:ascii="仿宋" w:hAnsi="仿宋" w:eastAsia="仿宋"/>
          <w:b w:val="0"/>
          <w:bCs/>
          <w:color w:val="auto"/>
          <w:spacing w:val="-4"/>
          <w:sz w:val="32"/>
          <w:szCs w:val="32"/>
        </w:rPr>
      </w:pPr>
      <w:r>
        <w:rPr>
          <w:rStyle w:val="18"/>
          <w:rFonts w:hint="eastAsia" w:ascii="仿宋" w:hAnsi="仿宋" w:eastAsia="仿宋"/>
          <w:b w:val="0"/>
          <w:color w:val="auto"/>
          <w:spacing w:val="-4"/>
          <w:sz w:val="32"/>
          <w:szCs w:val="32"/>
        </w:rPr>
        <w:t>效益性：今年未发生重特大交通事故，全县道路交通大局</w:t>
      </w:r>
      <w:r>
        <w:rPr>
          <w:rStyle w:val="18"/>
          <w:rFonts w:hint="eastAsia" w:ascii="仿宋" w:hAnsi="仿宋" w:eastAsia="仿宋"/>
          <w:b w:val="0"/>
          <w:color w:val="auto"/>
          <w:spacing w:val="-4"/>
          <w:sz w:val="32"/>
          <w:szCs w:val="32"/>
          <w:lang w:val="en-US" w:eastAsia="zh-CN"/>
        </w:rPr>
        <w:t>畅通</w:t>
      </w:r>
      <w:bookmarkStart w:id="1" w:name="_GoBack"/>
      <w:bookmarkEnd w:id="1"/>
      <w:r>
        <w:rPr>
          <w:rStyle w:val="18"/>
          <w:rFonts w:hint="eastAsia" w:ascii="仿宋" w:hAnsi="仿宋" w:eastAsia="仿宋"/>
          <w:b w:val="0"/>
          <w:color w:val="auto"/>
          <w:spacing w:val="-4"/>
          <w:sz w:val="32"/>
          <w:szCs w:val="32"/>
        </w:rPr>
        <w:t>。从满意度指标分析预期群众满意度≥90%，实际完成群众满意度达到92%，上升2%。</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hint="eastAsia" w:ascii="仿宋" w:hAnsi="仿宋" w:eastAsia="仿宋"/>
          <w:color w:val="auto"/>
          <w:spacing w:val="-4"/>
          <w:sz w:val="32"/>
          <w:szCs w:val="32"/>
        </w:rPr>
      </w:pPr>
      <w:r>
        <w:rPr>
          <w:rFonts w:hint="eastAsia" w:ascii="仿宋" w:hAnsi="仿宋" w:eastAsia="仿宋"/>
          <w:color w:val="auto"/>
          <w:spacing w:val="-4"/>
          <w:sz w:val="32"/>
          <w:szCs w:val="32"/>
        </w:rPr>
        <w:t>不存在未完成情况</w:t>
      </w:r>
      <w:r>
        <w:rPr>
          <w:rFonts w:ascii="仿宋" w:hAnsi="仿宋" w:eastAsia="仿宋"/>
          <w:color w:val="auto"/>
          <w:spacing w:val="-4"/>
          <w:sz w:val="32"/>
          <w:szCs w:val="32"/>
        </w:rPr>
        <w:t>:</w:t>
      </w:r>
      <w:r>
        <w:rPr>
          <w:rFonts w:hint="eastAsia" w:ascii="仿宋" w:hAnsi="仿宋" w:eastAsia="仿宋"/>
          <w:color w:val="auto"/>
          <w:spacing w:val="-4"/>
          <w:sz w:val="32"/>
          <w:szCs w:val="32"/>
        </w:rPr>
        <w:t>2018年本项目绩效目标全部达成，不存在未完成原因分析。</w:t>
      </w:r>
    </w:p>
    <w:p>
      <w:pPr>
        <w:adjustRightInd w:val="0"/>
        <w:snapToGrid w:val="0"/>
        <w:spacing w:line="56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hint="eastAsia"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rPr>
        <w:t>我局将严格按照预算要求，按照财政各项规定，合理科学的使用交警业务经费，全力保障全县道路交通安全畅通有序。</w:t>
      </w:r>
      <w:r>
        <w:rPr>
          <w:rFonts w:hint="eastAsia" w:ascii="仿宋" w:hAnsi="仿宋" w:eastAsia="仿宋"/>
          <w:bCs/>
          <w:color w:val="auto"/>
          <w:spacing w:val="-4"/>
          <w:sz w:val="32"/>
          <w:szCs w:val="32"/>
          <w:lang w:val="en-US" w:eastAsia="zh-CN"/>
        </w:rPr>
        <w:t xml:space="preserve"> </w:t>
      </w:r>
    </w:p>
    <w:p>
      <w:pPr>
        <w:numPr>
          <w:ilvl w:val="0"/>
          <w:numId w:val="1"/>
        </w:numPr>
        <w:adjustRightInd w:val="0"/>
        <w:snapToGrid w:val="0"/>
        <w:spacing w:line="560" w:lineRule="exact"/>
        <w:ind w:firstLine="627" w:firstLineChars="200"/>
        <w:outlineLvl w:val="0"/>
        <w:rPr>
          <w:rFonts w:hint="eastAsia" w:ascii="楷体" w:hAnsi="楷体" w:eastAsia="楷体"/>
          <w:b/>
          <w:spacing w:val="-4"/>
          <w:sz w:val="32"/>
          <w:szCs w:val="32"/>
        </w:rPr>
      </w:pPr>
      <w:r>
        <w:rPr>
          <w:rFonts w:hint="eastAsia" w:ascii="楷体" w:hAnsi="楷体" w:eastAsia="楷体"/>
          <w:b/>
          <w:spacing w:val="-4"/>
          <w:sz w:val="32"/>
          <w:szCs w:val="32"/>
        </w:rPr>
        <w:t>主要经验及做法、存在问题和建议</w:t>
      </w:r>
    </w:p>
    <w:p>
      <w:pPr>
        <w:numPr>
          <w:ilvl w:val="0"/>
          <w:numId w:val="0"/>
        </w:numPr>
        <w:adjustRightInd w:val="0"/>
        <w:snapToGrid w:val="0"/>
        <w:spacing w:line="560" w:lineRule="exact"/>
        <w:ind w:firstLine="936" w:firstLineChars="300"/>
        <w:rPr>
          <w:rFonts w:hint="eastAsia" w:ascii="仿宋" w:hAnsi="仿宋" w:eastAsia="仿宋"/>
          <w:bCs/>
          <w:spacing w:val="-4"/>
          <w:sz w:val="32"/>
          <w:szCs w:val="32"/>
        </w:rPr>
      </w:pPr>
      <w:r>
        <w:rPr>
          <w:rFonts w:hint="eastAsia" w:ascii="仿宋" w:hAnsi="仿宋" w:eastAsia="仿宋"/>
          <w:bCs/>
          <w:spacing w:val="-4"/>
          <w:sz w:val="32"/>
          <w:szCs w:val="32"/>
          <w:lang w:val="en-US" w:eastAsia="zh-CN"/>
        </w:rPr>
        <w:t>1、</w:t>
      </w:r>
      <w:r>
        <w:rPr>
          <w:rFonts w:hint="eastAsia" w:ascii="仿宋" w:hAnsi="仿宋" w:eastAsia="仿宋"/>
          <w:bCs/>
          <w:spacing w:val="-4"/>
          <w:sz w:val="32"/>
          <w:szCs w:val="32"/>
        </w:rPr>
        <w:t>主要经验及做法</w:t>
      </w:r>
    </w:p>
    <w:p>
      <w:pPr>
        <w:numPr>
          <w:ilvl w:val="0"/>
          <w:numId w:val="0"/>
        </w:num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2018年交警业务经费，在项目实施过程中全力保障交警各项业务工作的落实。一是按照经费实施方案，各项支出有计划的开展，提高了预算执行率。二是加强督促检查。对于重大项目支出召开党委会研究决定。</w:t>
      </w:r>
    </w:p>
    <w:p>
      <w:pPr>
        <w:numPr>
          <w:ilvl w:val="0"/>
          <w:numId w:val="0"/>
        </w:numPr>
        <w:adjustRightInd w:val="0"/>
        <w:snapToGrid w:val="0"/>
        <w:spacing w:line="560" w:lineRule="exact"/>
        <w:ind w:leftChars="200" w:firstLine="312" w:firstLineChars="100"/>
        <w:rPr>
          <w:rFonts w:hint="eastAsia" w:ascii="仿宋" w:hAnsi="仿宋" w:eastAsia="仿宋"/>
          <w:bCs/>
          <w:spacing w:val="-4"/>
          <w:sz w:val="32"/>
          <w:szCs w:val="32"/>
        </w:rPr>
      </w:pPr>
      <w:r>
        <w:rPr>
          <w:rFonts w:hint="eastAsia" w:ascii="仿宋" w:hAnsi="仿宋" w:eastAsia="仿宋"/>
          <w:bCs/>
          <w:spacing w:val="-4"/>
          <w:sz w:val="32"/>
          <w:szCs w:val="32"/>
          <w:lang w:val="en-US" w:eastAsia="zh-CN"/>
        </w:rPr>
        <w:t>2、</w:t>
      </w:r>
      <w:r>
        <w:rPr>
          <w:rFonts w:hint="eastAsia" w:ascii="仿宋" w:hAnsi="仿宋" w:eastAsia="仿宋"/>
          <w:bCs/>
          <w:spacing w:val="-4"/>
          <w:sz w:val="32"/>
          <w:szCs w:val="32"/>
        </w:rPr>
        <w:t>存在的问题</w:t>
      </w:r>
    </w:p>
    <w:p>
      <w:pPr>
        <w:numPr>
          <w:ilvl w:val="0"/>
          <w:numId w:val="0"/>
        </w:numPr>
        <w:adjustRightInd w:val="0"/>
        <w:snapToGrid w:val="0"/>
        <w:spacing w:line="560" w:lineRule="exact"/>
        <w:ind w:firstLine="624" w:firstLineChars="200"/>
        <w:rPr>
          <w:rFonts w:hint="default" w:ascii="仿宋" w:hAnsi="仿宋" w:eastAsia="仿宋"/>
          <w:bCs/>
          <w:spacing w:val="-4"/>
          <w:sz w:val="32"/>
          <w:szCs w:val="32"/>
          <w:lang w:val="en-US" w:eastAsia="zh-CN"/>
        </w:rPr>
      </w:pPr>
      <w:r>
        <w:rPr>
          <w:rFonts w:hint="eastAsia" w:ascii="仿宋" w:hAnsi="仿宋" w:eastAsia="仿宋"/>
          <w:bCs/>
          <w:spacing w:val="-4"/>
          <w:sz w:val="32"/>
          <w:szCs w:val="32"/>
          <w:lang w:val="en-US" w:eastAsia="zh-CN"/>
        </w:rPr>
        <w:t>随着当前任务日益繁重，目前已有的交警业务经费无法满足工作需要。</w:t>
      </w:r>
    </w:p>
    <w:p>
      <w:p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3、建议</w:t>
      </w:r>
    </w:p>
    <w:p>
      <w:p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建议2019年适当增加专项道路交通管理办案，装备工作经费。</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val="en-US" w:eastAsia="zh-CN"/>
        </w:rPr>
        <w:t>2018年交警业务经费</w:t>
      </w:r>
      <w:r>
        <w:rPr>
          <w:rFonts w:hint="eastAsia" w:ascii="仿宋" w:hAnsi="仿宋" w:eastAsia="仿宋"/>
          <w:color w:val="auto"/>
          <w:spacing w:val="-4"/>
          <w:sz w:val="32"/>
          <w:szCs w:val="32"/>
        </w:rPr>
        <w:t>项目资金的使用效率和效果，项目管理过程是否规范，是否完成了预期绩效目标等。同时，通过开展自我评价来总结经验和教训，为</w:t>
      </w:r>
      <w:r>
        <w:rPr>
          <w:rFonts w:hint="eastAsia" w:ascii="仿宋" w:hAnsi="仿宋" w:eastAsia="仿宋"/>
          <w:color w:val="auto"/>
          <w:spacing w:val="-4"/>
          <w:sz w:val="32"/>
          <w:szCs w:val="32"/>
          <w:lang w:val="en-US" w:eastAsia="zh-CN"/>
        </w:rPr>
        <w:t>塔县交警业务经费</w:t>
      </w:r>
      <w:r>
        <w:rPr>
          <w:rFonts w:hint="eastAsia" w:ascii="仿宋" w:hAnsi="仿宋" w:eastAsia="仿宋"/>
          <w:color w:val="auto"/>
          <w:spacing w:val="-4"/>
          <w:sz w:val="32"/>
          <w:szCs w:val="32"/>
        </w:rPr>
        <w:t>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hint="eastAsia" w:ascii="仿宋" w:hAnsi="仿宋" w:eastAsia="仿宋"/>
          <w:color w:val="FF0000"/>
          <w:spacing w:val="-4"/>
          <w:sz w:val="32"/>
          <w:szCs w:val="32"/>
        </w:rPr>
      </w:pPr>
      <w:r>
        <w:rPr>
          <w:rStyle w:val="18"/>
          <w:rFonts w:hint="eastAsia" w:ascii="仿宋" w:hAnsi="仿宋" w:eastAsia="仿宋"/>
          <w:b w:val="0"/>
          <w:spacing w:val="-4"/>
          <w:sz w:val="32"/>
          <w:szCs w:val="32"/>
        </w:rPr>
        <w:t>《项目支出绩效目标自评表》</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C93A00"/>
    <w:multiLevelType w:val="singleLevel"/>
    <w:tmpl w:val="DBC93A0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F1A98"/>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882985"/>
    <w:rsid w:val="00922CB9"/>
    <w:rsid w:val="009350F7"/>
    <w:rsid w:val="009B526F"/>
    <w:rsid w:val="009C1AFD"/>
    <w:rsid w:val="009D4BFB"/>
    <w:rsid w:val="00A26421"/>
    <w:rsid w:val="00A4293B"/>
    <w:rsid w:val="00A83BD5"/>
    <w:rsid w:val="00A977DF"/>
    <w:rsid w:val="00AE6A23"/>
    <w:rsid w:val="00B06CA5"/>
    <w:rsid w:val="00B13FCF"/>
    <w:rsid w:val="00B41F61"/>
    <w:rsid w:val="00B55332"/>
    <w:rsid w:val="00B86E8C"/>
    <w:rsid w:val="00BE1A00"/>
    <w:rsid w:val="00C22CF0"/>
    <w:rsid w:val="00C56C72"/>
    <w:rsid w:val="00CA6457"/>
    <w:rsid w:val="00CC4442"/>
    <w:rsid w:val="00CC6E4D"/>
    <w:rsid w:val="00D17F2E"/>
    <w:rsid w:val="00D46194"/>
    <w:rsid w:val="00E01293"/>
    <w:rsid w:val="00E027D1"/>
    <w:rsid w:val="00E769FE"/>
    <w:rsid w:val="00EA2CBE"/>
    <w:rsid w:val="00EF3FFA"/>
    <w:rsid w:val="00F32FEE"/>
    <w:rsid w:val="00F53E69"/>
    <w:rsid w:val="03071958"/>
    <w:rsid w:val="0AB56CE2"/>
    <w:rsid w:val="0EB107EC"/>
    <w:rsid w:val="21454B50"/>
    <w:rsid w:val="275833BE"/>
    <w:rsid w:val="36AE08AA"/>
    <w:rsid w:val="397F4FE8"/>
    <w:rsid w:val="3A3E703D"/>
    <w:rsid w:val="49264046"/>
    <w:rsid w:val="4EFD6A38"/>
    <w:rsid w:val="53AA39CB"/>
    <w:rsid w:val="5A7F0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49">
    <w:name w:val="font21"/>
    <w:basedOn w:val="17"/>
    <w:uiPriority w:val="0"/>
    <w:rPr>
      <w:rFonts w:hint="default" w:ascii="Times New Roman" w:hAnsi="Times New Roman" w:cs="Times New Roman"/>
      <w:color w:val="000000"/>
      <w:sz w:val="24"/>
      <w:szCs w:val="24"/>
      <w:u w:val="none"/>
    </w:rPr>
  </w:style>
  <w:style w:type="character" w:customStyle="1" w:styleId="50">
    <w:name w:val="font01"/>
    <w:basedOn w:val="17"/>
    <w:uiPriority w:val="0"/>
    <w:rPr>
      <w:rFonts w:hint="eastAsia" w:ascii="宋体" w:hAnsi="宋体" w:eastAsia="宋体" w:cs="宋体"/>
      <w:color w:val="000000"/>
      <w:sz w:val="24"/>
      <w:szCs w:val="24"/>
      <w:u w:val="none"/>
    </w:rPr>
  </w:style>
  <w:style w:type="character" w:customStyle="1" w:styleId="51">
    <w:name w:val="font11"/>
    <w:basedOn w:val="17"/>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9948E-C7AC-4B1A-BBAD-BEBC72B75328}">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0</TotalTime>
  <ScaleCrop>false</ScaleCrop>
  <LinksUpToDate>false</LinksUpToDate>
  <CharactersWithSpaces>1916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Lenovo</cp:lastModifiedBy>
  <cp:lastPrinted>2018-12-17T10:15:00Z</cp:lastPrinted>
  <dcterms:modified xsi:type="dcterms:W3CDTF">2019-09-22T10:52:21Z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